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rPr>
      </w:pPr>
      <w:bookmarkStart w:colFirst="0" w:colLast="0" w:name="_s60my51vwzoe" w:id="0"/>
      <w:bookmarkEnd w:id="0"/>
      <w:r w:rsidDel="00000000" w:rsidR="00000000" w:rsidRPr="00000000">
        <w:rPr>
          <w:rtl w:val="0"/>
        </w:rPr>
        <w:t xml:space="preserve">Healios Carbon Reduction Plan</w:t>
      </w:r>
      <w:r w:rsidDel="00000000" w:rsidR="00000000" w:rsidRPr="00000000">
        <w:rPr>
          <w:rtl w:val="0"/>
        </w:rPr>
      </w:r>
    </w:p>
    <w:p w:rsidR="00000000" w:rsidDel="00000000" w:rsidP="00000000" w:rsidRDefault="00000000" w:rsidRPr="00000000" w14:paraId="00000002">
      <w:pPr>
        <w:pStyle w:val="Heading2"/>
        <w:rPr>
          <w:b w:val="1"/>
          <w:bCs w:val="1"/>
          <w:color w:val="4a86e8"/>
        </w:rPr>
      </w:pPr>
      <w:bookmarkStart w:colFirst="0" w:colLast="0" w:name="_iyidw0jengz0" w:id="1"/>
      <w:bookmarkEnd w:id="1"/>
      <w:r w:rsidDel="00000000" w:rsidR="00000000" w:rsidRPr="00000000">
        <w:rPr>
          <w:b w:val="1"/>
          <w:bCs w:val="1"/>
          <w:color w:val="4a86e8"/>
          <w:rtl w:val="0"/>
        </w:rPr>
        <w:t xml:space="preserve">1. Commitment to Carbon Reduction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Healios is committed to reducing its environmental impact and supporting national efforts to address climate change. As a remote-first provider of digital mental health and neurodevelopmental services, Healios recognises that environmental sustainability is integral to delivering high-quality, resilient, and socially responsible healthcare.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Healios commits to achieving Net Zero greenhouse gas emissions by 2040, in alignment with NHS England Net Zero targets, and to continuously reducing emissions across all areas of its operations.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Healios has appointed Net Zero champions. There have also been changes to the business model during 2025 / 26.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b w:val="1"/>
          <w:bCs w:val="1"/>
          <w:color w:val="4a86e8"/>
          <w:sz w:val="32"/>
          <w:szCs w:val="32"/>
        </w:rPr>
      </w:pPr>
      <w:r w:rsidDel="00000000" w:rsidR="00000000" w:rsidRPr="00000000">
        <w:rPr>
          <w:b w:val="1"/>
          <w:bCs w:val="1"/>
          <w:color w:val="4a86e8"/>
          <w:sz w:val="32"/>
          <w:szCs w:val="32"/>
          <w:rtl w:val="0"/>
        </w:rPr>
        <w:t xml:space="preserve">2. Baseline Emissions</w:t>
      </w:r>
    </w:p>
    <w:p w:rsidR="00000000" w:rsidDel="00000000" w:rsidP="00000000" w:rsidRDefault="00000000" w:rsidRPr="00000000" w14:paraId="0000000B">
      <w:pPr>
        <w:rPr/>
      </w:pPr>
      <w:r w:rsidDel="00000000" w:rsidR="00000000" w:rsidRPr="00000000">
        <w:rPr>
          <w:rtl w:val="0"/>
        </w:rPr>
        <w:t xml:space="preserve">The baseline  projection was based on the 2023 accounts of Healios, and using the UK business generated tonnes 440 CO2. This was based on 302 employees and using the Business Carbon Calculator by Normative.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Emission Scopes in Scope: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Scope 1:</w:t>
      </w:r>
    </w:p>
    <w:p w:rsidR="00000000" w:rsidDel="00000000" w:rsidP="00000000" w:rsidRDefault="00000000" w:rsidRPr="00000000" w14:paraId="00000010">
      <w:pPr>
        <w:rPr/>
      </w:pPr>
      <w:r w:rsidDel="00000000" w:rsidR="00000000" w:rsidRPr="00000000">
        <w:rPr>
          <w:rtl w:val="0"/>
        </w:rPr>
        <w:t xml:space="preserve">Direct emissions from owned or controlled sources</w:t>
      </w:r>
    </w:p>
    <w:p w:rsidR="00000000" w:rsidDel="00000000" w:rsidP="00000000" w:rsidRDefault="00000000" w:rsidRPr="00000000" w14:paraId="00000011">
      <w:pPr>
        <w:rPr/>
      </w:pPr>
      <w:r w:rsidDel="00000000" w:rsidR="00000000" w:rsidRPr="00000000">
        <w:rPr>
          <w:rtl w:val="0"/>
        </w:rPr>
        <w:t xml:space="preserve">Healios currently has minimal or no Scope 1 emissions.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Scope 2:</w:t>
      </w:r>
    </w:p>
    <w:p w:rsidR="00000000" w:rsidDel="00000000" w:rsidP="00000000" w:rsidRDefault="00000000" w:rsidRPr="00000000" w14:paraId="00000014">
      <w:pPr>
        <w:rPr/>
      </w:pPr>
      <w:r w:rsidDel="00000000" w:rsidR="00000000" w:rsidRPr="00000000">
        <w:rPr>
          <w:rtl w:val="0"/>
        </w:rPr>
        <w:t xml:space="preserve">Indirect emissions from purchased electricity associated with remote working.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Scope 3:</w:t>
      </w:r>
    </w:p>
    <w:p w:rsidR="00000000" w:rsidDel="00000000" w:rsidP="00000000" w:rsidRDefault="00000000" w:rsidRPr="00000000" w14:paraId="00000017">
      <w:pPr>
        <w:rPr/>
      </w:pPr>
      <w:r w:rsidDel="00000000" w:rsidR="00000000" w:rsidRPr="00000000">
        <w:rPr>
          <w:rtl w:val="0"/>
        </w:rPr>
        <w:t xml:space="preserve">Indirect emissions from:</w:t>
      </w:r>
    </w:p>
    <w:p w:rsidR="00000000" w:rsidDel="00000000" w:rsidP="00000000" w:rsidRDefault="00000000" w:rsidRPr="00000000" w14:paraId="00000018">
      <w:pPr>
        <w:rPr/>
      </w:pPr>
      <w:r w:rsidDel="00000000" w:rsidR="00000000" w:rsidRPr="00000000">
        <w:rPr>
          <w:rtl w:val="0"/>
        </w:rPr>
        <w:t xml:space="preserve">Business travel and employee commuting</w:t>
      </w:r>
    </w:p>
    <w:p w:rsidR="00000000" w:rsidDel="00000000" w:rsidP="00000000" w:rsidRDefault="00000000" w:rsidRPr="00000000" w14:paraId="00000019">
      <w:pPr>
        <w:rPr/>
      </w:pPr>
      <w:r w:rsidDel="00000000" w:rsidR="00000000" w:rsidRPr="00000000">
        <w:rPr>
          <w:rtl w:val="0"/>
        </w:rPr>
        <w:t xml:space="preserve">Cloud hosting and digital infrastructure</w:t>
      </w:r>
    </w:p>
    <w:p w:rsidR="00000000" w:rsidDel="00000000" w:rsidP="00000000" w:rsidRDefault="00000000" w:rsidRPr="00000000" w14:paraId="0000001A">
      <w:pPr>
        <w:rPr/>
      </w:pPr>
      <w:r w:rsidDel="00000000" w:rsidR="00000000" w:rsidRPr="00000000">
        <w:rPr>
          <w:rtl w:val="0"/>
        </w:rPr>
        <w:t xml:space="preserve">Procurement of IT equipment and services</w:t>
      </w:r>
    </w:p>
    <w:p w:rsidR="00000000" w:rsidDel="00000000" w:rsidP="00000000" w:rsidRDefault="00000000" w:rsidRPr="00000000" w14:paraId="0000001B">
      <w:pPr>
        <w:rPr/>
      </w:pPr>
      <w:r w:rsidDel="00000000" w:rsidR="00000000" w:rsidRPr="00000000">
        <w:rPr>
          <w:rtl w:val="0"/>
        </w:rPr>
        <w:t xml:space="preserve">Waste and supply chains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Baseline measurement will be refined annually as data quality improves. Where supplier-specific emissions data is unavailable, Healios applies UK Government DEFRA spend-based emission factors aligned to the relevant economic sector. This approach provides a proportionate and nationally recognised method for estimating Scope 3 supply chain emissions and will be refined as data quality improves.</w:t>
      </w: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tbl>
      <w:tblPr>
        <w:tblStyle w:val="Table1"/>
        <w:tblpPr w:leftFromText="180" w:rightFromText="180" w:topFromText="180" w:bottomFromText="180" w:vertAnchor="text" w:horzAnchor="text" w:tblpX="0" w:tblpY="0"/>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Pr>
          <w:p w:rsidR="00000000" w:rsidDel="00000000" w:rsidP="00000000" w:rsidRDefault="00000000" w:rsidRPr="00000000" w14:paraId="0000001F">
            <w:pPr>
              <w:spacing w:after="120" w:line="271" w:lineRule="auto"/>
              <w:jc w:val="both"/>
              <w:rPr>
                <w:b w:val="1"/>
                <w:bCs w:val="1"/>
              </w:rPr>
            </w:pPr>
            <w:r w:rsidDel="00000000" w:rsidR="00000000" w:rsidRPr="00000000">
              <w:rPr>
                <w:b w:val="1"/>
                <w:bCs w:val="1"/>
                <w:rtl w:val="0"/>
              </w:rPr>
              <w:t xml:space="preserve">Baseline Year: As of Oct 2024</w:t>
            </w:r>
          </w:p>
        </w:tc>
      </w:tr>
      <w:tr>
        <w:trPr>
          <w:cantSplit w:val="0"/>
          <w:trHeight w:val="455" w:hRule="atLeast"/>
          <w:tblHeader w:val="0"/>
        </w:trPr>
        <w:tc>
          <w:tcPr>
            <w:gridSpan w:val="2"/>
          </w:tcPr>
          <w:p w:rsidR="00000000" w:rsidDel="00000000" w:rsidP="00000000" w:rsidRDefault="00000000" w:rsidRPr="00000000" w14:paraId="00000021">
            <w:pPr>
              <w:spacing w:after="120" w:line="271" w:lineRule="auto"/>
              <w:jc w:val="both"/>
              <w:rPr>
                <w:b w:val="1"/>
                <w:bCs w:val="1"/>
              </w:rPr>
            </w:pPr>
            <w:r w:rsidDel="00000000" w:rsidR="00000000" w:rsidRPr="00000000">
              <w:rPr>
                <w:b w:val="1"/>
                <w:bCs w:val="1"/>
                <w:rtl w:val="0"/>
              </w:rPr>
              <w:t xml:space="preserve">Additional Details relating to the Baseline Emissions calculations. </w:t>
            </w:r>
          </w:p>
        </w:tc>
      </w:tr>
      <w:tr>
        <w:trPr>
          <w:cantSplit w:val="0"/>
          <w:trHeight w:val="455" w:hRule="atLeast"/>
          <w:tblHeader w:val="0"/>
        </w:trPr>
        <w:tc>
          <w:tcPr>
            <w:gridSpan w:val="2"/>
          </w:tcPr>
          <w:p w:rsidR="00000000" w:rsidDel="00000000" w:rsidP="00000000" w:rsidRDefault="00000000" w:rsidRPr="00000000" w14:paraId="00000023">
            <w:pPr>
              <w:spacing w:after="120" w:line="271" w:lineRule="auto"/>
              <w:jc w:val="both"/>
              <w:rPr>
                <w:highlight w:val="white"/>
              </w:rPr>
            </w:pPr>
            <w:r w:rsidDel="00000000" w:rsidR="00000000" w:rsidRPr="00000000">
              <w:rPr>
                <w:highlight w:val="white"/>
                <w:rtl w:val="0"/>
              </w:rPr>
              <w:t xml:space="preserve">Emissions data had not been published in prior years therefore  we selected 2024 as our base year.  The methodology for measuring our carbon footprint is in line with the Greenhouse Gas protocol .  The calculations were completed on the SmartCarbon Calculator using the UK Government emissions factors </w:t>
            </w:r>
          </w:p>
        </w:tc>
      </w:tr>
      <w:tr>
        <w:trPr>
          <w:cantSplit w:val="0"/>
          <w:trHeight w:val="455" w:hRule="atLeast"/>
          <w:tblHeader w:val="0"/>
        </w:trPr>
        <w:tc>
          <w:tcPr>
            <w:gridSpan w:val="2"/>
          </w:tcPr>
          <w:p w:rsidR="00000000" w:rsidDel="00000000" w:rsidP="00000000" w:rsidRDefault="00000000" w:rsidRPr="00000000" w14:paraId="00000025">
            <w:pPr>
              <w:spacing w:after="120" w:line="271" w:lineRule="auto"/>
              <w:jc w:val="both"/>
              <w:rPr>
                <w:b w:val="1"/>
                <w:bCs w:val="1"/>
              </w:rPr>
            </w:pPr>
            <w:r w:rsidDel="00000000" w:rsidR="00000000" w:rsidRPr="00000000">
              <w:rPr>
                <w:b w:val="1"/>
                <w:bCs w:val="1"/>
                <w:rtl w:val="0"/>
              </w:rPr>
              <w:t xml:space="preserve">Baseline year emissions:</w:t>
            </w:r>
          </w:p>
        </w:tc>
      </w:tr>
      <w:tr>
        <w:trPr>
          <w:cantSplit w:val="0"/>
          <w:trHeight w:val="740" w:hRule="atLeast"/>
          <w:tblHeader w:val="0"/>
        </w:trPr>
        <w:tc>
          <w:tcPr/>
          <w:p w:rsidR="00000000" w:rsidDel="00000000" w:rsidP="00000000" w:rsidRDefault="00000000" w:rsidRPr="00000000" w14:paraId="00000027">
            <w:pPr>
              <w:spacing w:after="120" w:line="271" w:lineRule="auto"/>
              <w:jc w:val="both"/>
              <w:rPr>
                <w:b w:val="1"/>
                <w:bCs w:val="1"/>
              </w:rPr>
            </w:pPr>
            <w:r w:rsidDel="00000000" w:rsidR="00000000" w:rsidRPr="00000000">
              <w:rPr>
                <w:b w:val="1"/>
                <w:bCs w:val="1"/>
                <w:rtl w:val="0"/>
              </w:rPr>
              <w:t xml:space="preserve">EMISSIONS</w:t>
            </w:r>
          </w:p>
        </w:tc>
        <w:tc>
          <w:tcPr>
            <w:tcBorders>
              <w:right w:color="000000" w:space="0" w:sz="20" w:val="single"/>
            </w:tcBorders>
          </w:tcPr>
          <w:p w:rsidR="00000000" w:rsidDel="00000000" w:rsidP="00000000" w:rsidRDefault="00000000" w:rsidRPr="00000000" w14:paraId="00000028">
            <w:pPr>
              <w:spacing w:after="120" w:line="271" w:lineRule="auto"/>
              <w:jc w:val="both"/>
              <w:rPr/>
            </w:pPr>
            <w:r w:rsidDel="00000000" w:rsidR="00000000" w:rsidRPr="00000000">
              <w:rPr>
                <w:b w:val="1"/>
                <w:bCs w:val="1"/>
                <w:rtl w:val="0"/>
              </w:rPr>
              <w:t xml:space="preserve">TOTAL 440(tCO</w:t>
            </w:r>
            <w:r w:rsidDel="00000000" w:rsidR="00000000" w:rsidRPr="00000000">
              <w:rPr>
                <w:b w:val="1"/>
                <w:bCs w:val="1"/>
                <w:vertAlign w:val="subscript"/>
                <w:rtl w:val="0"/>
              </w:rPr>
              <w:t xml:space="preserve">2</w:t>
            </w:r>
            <w:r w:rsidDel="00000000" w:rsidR="00000000" w:rsidRPr="00000000">
              <w:rPr>
                <w:b w:val="1"/>
                <w:bCs w:val="1"/>
                <w:rtl w:val="0"/>
              </w:rPr>
              <w:t xml:space="preserve">e)</w:t>
            </w: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029">
            <w:pPr>
              <w:spacing w:after="120" w:line="271" w:lineRule="auto"/>
              <w:jc w:val="both"/>
              <w:rPr>
                <w:b w:val="1"/>
                <w:bCs w:val="1"/>
              </w:rPr>
            </w:pPr>
            <w:r w:rsidDel="00000000" w:rsidR="00000000" w:rsidRPr="00000000">
              <w:rPr>
                <w:b w:val="1"/>
                <w:bCs w:val="1"/>
                <w:rtl w:val="0"/>
              </w:rPr>
              <w:t xml:space="preserve">Scope 1</w:t>
            </w:r>
          </w:p>
        </w:tc>
        <w:tc>
          <w:tcPr>
            <w:tcBorders>
              <w:right w:color="000000" w:space="0" w:sz="20" w:val="single"/>
            </w:tcBorders>
          </w:tcPr>
          <w:p w:rsidR="00000000" w:rsidDel="00000000" w:rsidP="00000000" w:rsidRDefault="00000000" w:rsidRPr="00000000" w14:paraId="0000002A">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0</w:t>
            </w:r>
          </w:p>
        </w:tc>
      </w:tr>
      <w:tr>
        <w:trPr>
          <w:cantSplit w:val="0"/>
          <w:trHeight w:val="455" w:hRule="atLeast"/>
          <w:tblHeader w:val="0"/>
        </w:trPr>
        <w:tc>
          <w:tcPr/>
          <w:p w:rsidR="00000000" w:rsidDel="00000000" w:rsidP="00000000" w:rsidRDefault="00000000" w:rsidRPr="00000000" w14:paraId="0000002B">
            <w:pPr>
              <w:spacing w:after="120" w:line="271" w:lineRule="auto"/>
              <w:jc w:val="both"/>
              <w:rPr>
                <w:b w:val="1"/>
                <w:bCs w:val="1"/>
              </w:rPr>
            </w:pPr>
            <w:r w:rsidDel="00000000" w:rsidR="00000000" w:rsidRPr="00000000">
              <w:rPr>
                <w:b w:val="1"/>
                <w:bCs w:val="1"/>
                <w:rtl w:val="0"/>
              </w:rPr>
              <w:t xml:space="preserve">Scope 2</w:t>
            </w:r>
          </w:p>
        </w:tc>
        <w:tc>
          <w:tcPr>
            <w:tcBorders>
              <w:right w:color="000000" w:space="0" w:sz="20" w:val="single"/>
            </w:tcBorders>
          </w:tcPr>
          <w:p w:rsidR="00000000" w:rsidDel="00000000" w:rsidP="00000000" w:rsidRDefault="00000000" w:rsidRPr="00000000" w14:paraId="0000002C">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Not measured</w:t>
            </w:r>
          </w:p>
        </w:tc>
      </w:tr>
      <w:tr>
        <w:trPr>
          <w:cantSplit w:val="0"/>
          <w:trHeight w:val="585" w:hRule="atLeast"/>
          <w:tblHeader w:val="0"/>
        </w:trPr>
        <w:tc>
          <w:tcPr>
            <w:tcBorders>
              <w:bottom w:color="000000" w:space="0" w:sz="18" w:val="single"/>
            </w:tcBorders>
          </w:tcPr>
          <w:p w:rsidR="00000000" w:rsidDel="00000000" w:rsidP="00000000" w:rsidRDefault="00000000" w:rsidRPr="00000000" w14:paraId="0000002D">
            <w:pPr>
              <w:spacing w:after="120" w:line="271" w:lineRule="auto"/>
              <w:jc w:val="both"/>
              <w:rPr>
                <w:b w:val="1"/>
                <w:bCs w:val="1"/>
              </w:rPr>
            </w:pPr>
            <w:r w:rsidDel="00000000" w:rsidR="00000000" w:rsidRPr="00000000">
              <w:rPr>
                <w:b w:val="1"/>
                <w:bCs w:val="1"/>
                <w:rtl w:val="0"/>
              </w:rPr>
              <w:t xml:space="preserve">Scope 3 </w:t>
            </w:r>
          </w:p>
          <w:p w:rsidR="00000000" w:rsidDel="00000000" w:rsidP="00000000" w:rsidRDefault="00000000" w:rsidRPr="00000000" w14:paraId="0000002E">
            <w:pPr>
              <w:spacing w:after="120" w:line="271" w:lineRule="auto"/>
              <w:jc w:val="both"/>
              <w:rPr>
                <w:b w:val="1"/>
                <w:bCs w:val="1"/>
                <w:sz w:val="18"/>
                <w:szCs w:val="18"/>
              </w:rPr>
            </w:pPr>
            <w:r w:rsidDel="00000000" w:rsidR="00000000" w:rsidRPr="00000000">
              <w:rPr>
                <w:b w:val="1"/>
                <w:bCs w:val="1"/>
                <w:sz w:val="18"/>
                <w:szCs w:val="18"/>
                <w:rtl w:val="0"/>
              </w:rPr>
              <w:t xml:space="preserve">(Included Sources)</w:t>
            </w:r>
          </w:p>
        </w:tc>
        <w:tc>
          <w:tcPr>
            <w:tcBorders>
              <w:bottom w:color="000000" w:space="0" w:sz="18" w:val="single"/>
              <w:right w:color="000000" w:space="0" w:sz="20" w:val="single"/>
            </w:tcBorders>
          </w:tcPr>
          <w:p w:rsidR="00000000" w:rsidDel="00000000" w:rsidP="00000000" w:rsidRDefault="00000000" w:rsidRPr="00000000" w14:paraId="0000002F">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440</w:t>
            </w:r>
          </w:p>
          <w:p w:rsidR="00000000" w:rsidDel="00000000" w:rsidP="00000000" w:rsidRDefault="00000000" w:rsidRPr="00000000" w14:paraId="00000030">
            <w:pPr>
              <w:spacing w:after="120" w:line="271" w:lineRule="auto"/>
              <w:jc w:val="both"/>
              <w:rPr>
                <w:b w:val="1"/>
                <w:bCs w:val="1"/>
                <w:color w:val="434343"/>
                <w:highlight w:val="white"/>
              </w:rPr>
            </w:pPr>
            <w:r w:rsidDel="00000000" w:rsidR="00000000" w:rsidRPr="00000000">
              <w:rPr>
                <w:rtl w:val="0"/>
              </w:rPr>
            </w:r>
          </w:p>
          <w:p w:rsidR="00000000" w:rsidDel="00000000" w:rsidP="00000000" w:rsidRDefault="00000000" w:rsidRPr="00000000" w14:paraId="00000031">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*Healios is a provider of online assessment services with a national footprint.  We  primarily provide digital services and as such transportation, commuting and distribution of goods are not relevant to us</w:t>
            </w:r>
          </w:p>
        </w:tc>
      </w:tr>
      <w:tr>
        <w:trPr>
          <w:cantSplit w:val="0"/>
          <w:trHeight w:val="585" w:hRule="atLeast"/>
          <w:tblHeader w:val="0"/>
        </w:trPr>
        <w:tc>
          <w:tcPr>
            <w:tcBorders>
              <w:top w:color="000000" w:space="0" w:sz="18" w:val="single"/>
            </w:tcBorders>
          </w:tcPr>
          <w:p w:rsidR="00000000" w:rsidDel="00000000" w:rsidP="00000000" w:rsidRDefault="00000000" w:rsidRPr="00000000" w14:paraId="00000032">
            <w:pPr>
              <w:spacing w:after="120" w:line="271" w:lineRule="auto"/>
              <w:jc w:val="both"/>
              <w:rPr>
                <w:b w:val="1"/>
                <w:bCs w:val="1"/>
              </w:rPr>
            </w:pPr>
            <w:r w:rsidDel="00000000" w:rsidR="00000000" w:rsidRPr="00000000">
              <w:rPr>
                <w:b w:val="1"/>
                <w:bCs w:val="1"/>
                <w:rtl w:val="0"/>
              </w:rPr>
              <w:t xml:space="preserve">Total Emissions</w:t>
            </w:r>
          </w:p>
        </w:tc>
        <w:tc>
          <w:tcPr>
            <w:tcBorders>
              <w:top w:color="000000" w:space="0" w:sz="18" w:val="single"/>
              <w:right w:color="000000" w:space="0" w:sz="20" w:val="single"/>
            </w:tcBorders>
          </w:tcPr>
          <w:p w:rsidR="00000000" w:rsidDel="00000000" w:rsidP="00000000" w:rsidRDefault="00000000" w:rsidRPr="00000000" w14:paraId="00000033">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440</w:t>
            </w:r>
          </w:p>
        </w:tc>
      </w:tr>
    </w:tbl>
    <w:p w:rsidR="00000000" w:rsidDel="00000000" w:rsidP="00000000" w:rsidRDefault="00000000" w:rsidRPr="00000000" w14:paraId="00000034">
      <w:pPr>
        <w:spacing w:line="276" w:lineRule="auto"/>
        <w:rPr>
          <w:b w:val="1"/>
          <w:bCs w:val="1"/>
          <w:sz w:val="28"/>
          <w:szCs w:val="28"/>
        </w:rPr>
      </w:pPr>
      <w:r w:rsidDel="00000000" w:rsidR="00000000" w:rsidRPr="00000000">
        <w:rPr>
          <w:b w:val="1"/>
          <w:bCs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line="271" w:lineRule="auto"/>
              <w:jc w:val="both"/>
              <w:rPr/>
            </w:pPr>
            <w:r w:rsidDel="00000000" w:rsidR="00000000" w:rsidRPr="00000000">
              <w:rPr>
                <w:b w:val="1"/>
                <w:bCs w:val="1"/>
                <w:rtl w:val="0"/>
              </w:rPr>
              <w:t xml:space="preserve">Reporting Year:  2024/25 (31/09/2024 - 1/10/2025)</w:t>
            </w:r>
            <w:r w:rsidDel="00000000" w:rsidR="00000000" w:rsidRPr="00000000">
              <w:rPr>
                <w:rtl w:val="0"/>
              </w:rPr>
            </w:r>
          </w:p>
        </w:tc>
      </w:tr>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line="271" w:lineRule="auto"/>
              <w:jc w:val="both"/>
              <w:rPr>
                <w:b w:val="1"/>
                <w:bCs w:val="1"/>
              </w:rPr>
            </w:pPr>
            <w:r w:rsidDel="00000000" w:rsidR="00000000" w:rsidRPr="00000000">
              <w:rPr>
                <w:b w:val="1"/>
                <w:bCs w:val="1"/>
                <w:rtl w:val="0"/>
              </w:rPr>
              <w:t xml:space="preserve">Reporting date: 18th March 2026</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20" w:line="271" w:lineRule="auto"/>
              <w:jc w:val="both"/>
              <w:rPr>
                <w:b w:val="1"/>
                <w:bCs w:val="1"/>
              </w:rPr>
            </w:pPr>
            <w:r w:rsidDel="00000000" w:rsidR="00000000" w:rsidRPr="00000000">
              <w:rPr>
                <w:b w:val="1"/>
                <w:bCs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20" w:line="271" w:lineRule="auto"/>
              <w:jc w:val="both"/>
              <w:rPr/>
            </w:pPr>
            <w:r w:rsidDel="00000000" w:rsidR="00000000" w:rsidRPr="00000000">
              <w:rPr>
                <w:b w:val="1"/>
                <w:bCs w:val="1"/>
                <w:rtl w:val="0"/>
              </w:rPr>
              <w:t xml:space="preserve">TOTAL 136.236</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line="271" w:lineRule="auto"/>
              <w:jc w:val="both"/>
              <w:rPr>
                <w:b w:val="1"/>
                <w:bCs w:val="1"/>
              </w:rPr>
            </w:pPr>
            <w:r w:rsidDel="00000000" w:rsidR="00000000" w:rsidRPr="00000000">
              <w:rPr>
                <w:b w:val="1"/>
                <w:bCs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0</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spacing w:after="120" w:line="271" w:lineRule="auto"/>
              <w:jc w:val="both"/>
              <w:rPr>
                <w:b w:val="1"/>
                <w:bCs w:val="1"/>
              </w:rPr>
            </w:pPr>
            <w:r w:rsidDel="00000000" w:rsidR="00000000" w:rsidRPr="00000000">
              <w:rPr>
                <w:b w:val="1"/>
                <w:bCs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Total scope 2 emissions: 18.78 tCO2e</w:t>
            </w:r>
          </w:p>
          <w:p w:rsidR="00000000" w:rsidDel="00000000" w:rsidP="00000000" w:rsidRDefault="00000000" w:rsidRPr="00000000" w14:paraId="0000003F">
            <w:pPr>
              <w:spacing w:after="120" w:line="271" w:lineRule="auto"/>
              <w:jc w:val="both"/>
              <w:rPr>
                <w:color w:val="434343"/>
                <w:highlight w:val="white"/>
              </w:rPr>
            </w:pPr>
            <w:r w:rsidDel="00000000" w:rsidR="00000000" w:rsidRPr="00000000">
              <w:rPr>
                <w:color w:val="434343"/>
                <w:highlight w:val="white"/>
                <w:rtl w:val="0"/>
              </w:rPr>
              <w:t xml:space="preserve">Agile Working: Carbon reductions are built into our ‘remote-first’ approach to service provision. Within our workforce, we embrace a remote-first operational model that allows our team to work from home efficiently. This highlights our commitment to reducing the carbon footprint associated with traditional office-based setups. This includes both clinicians and support staff. By eliminating the need for regular commutes to a place of work, we lessen our environmental footprint. Healios is a remote-working organisation, and hence why our current carbon footprint baseline emissions are so low: as a small organisation with staff working from home, with clinicians providing our assessment and outcome reports as digital by default, the majority of our negligible carbon footprint is produced by homeworkers using their computers at home, as well as the energy, material and water used by our staff working from home.</w:t>
            </w:r>
          </w:p>
          <w:p w:rsidR="00000000" w:rsidDel="00000000" w:rsidP="00000000" w:rsidRDefault="00000000" w:rsidRPr="00000000" w14:paraId="00000040">
            <w:pPr>
              <w:spacing w:after="120" w:line="271" w:lineRule="auto"/>
              <w:jc w:val="both"/>
              <w:rPr>
                <w:color w:val="434343"/>
                <w:highlight w:val="white"/>
              </w:rPr>
            </w:pPr>
            <w:r w:rsidDel="00000000" w:rsidR="00000000" w:rsidRPr="00000000">
              <w:rPr>
                <w:color w:val="434343"/>
                <w:highlight w:val="white"/>
                <w:rtl w:val="0"/>
              </w:rPr>
              <w:t xml:space="preserve">Scope 2 emissions have been calculated based on the number of hours worked by regular staff and associates. Remote working electricity emissions have been included. </w:t>
            </w:r>
          </w:p>
          <w:p w:rsidR="00000000" w:rsidDel="00000000" w:rsidP="00000000" w:rsidRDefault="00000000" w:rsidRPr="00000000" w14:paraId="00000041">
            <w:pPr>
              <w:spacing w:after="120" w:line="271" w:lineRule="auto"/>
              <w:jc w:val="both"/>
              <w:rPr>
                <w:color w:val="434343"/>
                <w:highlight w:val="white"/>
              </w:rPr>
            </w:pPr>
            <w:r w:rsidDel="00000000" w:rsidR="00000000" w:rsidRPr="00000000">
              <w:rPr>
                <w:rtl w:val="0"/>
              </w:rPr>
            </w:r>
          </w:p>
          <w:p w:rsidR="00000000" w:rsidDel="00000000" w:rsidP="00000000" w:rsidRDefault="00000000" w:rsidRPr="00000000" w14:paraId="00000042">
            <w:pPr>
              <w:spacing w:after="120" w:line="271" w:lineRule="auto"/>
              <w:jc w:val="both"/>
              <w:rPr>
                <w:b w:val="1"/>
                <w:bCs w:val="1"/>
                <w:color w:val="434343"/>
                <w:highlight w:val="white"/>
              </w:rPr>
            </w:pP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3">
            <w:pPr>
              <w:spacing w:after="120" w:line="271" w:lineRule="auto"/>
              <w:jc w:val="both"/>
              <w:rPr>
                <w:b w:val="1"/>
                <w:bCs w:val="1"/>
              </w:rPr>
            </w:pPr>
            <w:r w:rsidDel="00000000" w:rsidR="00000000" w:rsidRPr="00000000">
              <w:rPr>
                <w:b w:val="1"/>
                <w:bCs w:val="1"/>
                <w:rtl w:val="0"/>
              </w:rPr>
              <w:t xml:space="preserve">Scope 3</w:t>
            </w:r>
          </w:p>
          <w:p w:rsidR="00000000" w:rsidDel="00000000" w:rsidP="00000000" w:rsidRDefault="00000000" w:rsidRPr="00000000" w14:paraId="00000044">
            <w:pPr>
              <w:spacing w:after="120" w:line="271" w:lineRule="auto"/>
              <w:rPr>
                <w:b w:val="1"/>
                <w:bCs w:val="1"/>
              </w:rPr>
            </w:pPr>
            <w:r w:rsidDel="00000000" w:rsidR="00000000" w:rsidRPr="00000000">
              <w:rPr>
                <w:b w:val="1"/>
                <w:bCs w:val="1"/>
                <w:rtl w:val="0"/>
              </w:rPr>
              <w:t xml:space="preserve">See full breakdown in Healios carbon calculator linked below.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5">
            <w:pPr>
              <w:spacing w:after="120" w:line="271" w:lineRule="auto"/>
              <w:jc w:val="both"/>
              <w:rPr>
                <w:b w:val="1"/>
                <w:bCs w:val="1"/>
                <w:color w:val="434343"/>
                <w:highlight w:val="white"/>
              </w:rPr>
            </w:pPr>
            <w:r w:rsidDel="00000000" w:rsidR="00000000" w:rsidRPr="00000000">
              <w:rPr>
                <w:b w:val="1"/>
                <w:bCs w:val="1"/>
                <w:color w:val="434343"/>
                <w:highlight w:val="white"/>
                <w:rtl w:val="0"/>
              </w:rPr>
              <w:t xml:space="preserve">Total scope 3 emissions: 117.455 tCO2e</w:t>
            </w:r>
          </w:p>
          <w:p w:rsidR="00000000" w:rsidDel="00000000" w:rsidP="00000000" w:rsidRDefault="00000000" w:rsidRPr="00000000" w14:paraId="00000046">
            <w:pPr>
              <w:spacing w:after="120" w:line="271" w:lineRule="auto"/>
              <w:jc w:val="both"/>
              <w:rPr>
                <w:b w:val="1"/>
                <w:bCs w:val="1"/>
                <w:color w:val="434343"/>
                <w:highlight w:val="white"/>
              </w:rPr>
            </w:pPr>
            <w:r w:rsidDel="00000000" w:rsidR="00000000" w:rsidRPr="00000000">
              <w:rPr>
                <w:color w:val="434343"/>
                <w:highlight w:val="white"/>
                <w:rtl w:val="0"/>
              </w:rPr>
              <w:t xml:space="preserve">Our Scope 3 emissions are primarily driven by business travel and purchased goods and services, reflecting the nature of a digitally enabled, remote-first healthcare organisation. Based on a spend-based methodology, air travel expenditure o</w:t>
            </w:r>
            <w:r w:rsidDel="00000000" w:rsidR="00000000" w:rsidRPr="00000000">
              <w:rPr>
                <w:color w:val="434343"/>
                <w:highlight w:val="white"/>
                <w:rtl w:val="0"/>
              </w:rPr>
              <w:t xml:space="preserve">f £34,269 </w:t>
            </w:r>
            <w:r w:rsidDel="00000000" w:rsidR="00000000" w:rsidRPr="00000000">
              <w:rPr>
                <w:color w:val="434343"/>
                <w:highlight w:val="white"/>
                <w:rtl w:val="0"/>
              </w:rPr>
              <w:t xml:space="preserve">equates to approximately 228,460 miles travelled, with additional taxi travel estimated at 914 miles from £1,828 spent. Digital software services represent a significant area of operational activity, with £559,564 of spend equating to approximately 22.38 tCO₂e. In contrast, IT procurement, while lower in financial value (£151,931), contributes a higher carbon impact of approximately 45.58 tCO₂e, reflecting the carbon intensity of hardware manufacturing and lifecycle emissions. These findings highlight that while our service model reduces emissions associated with physical estates, there remain key opportunities to reduce Scope 3 emissions through sustainable procurement practices, extending hardware lifecycles, and minimising travel where possible.</w:t>
            </w: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7">
            <w:pPr>
              <w:spacing w:after="120" w:line="271" w:lineRule="auto"/>
              <w:jc w:val="both"/>
              <w:rPr>
                <w:b w:val="1"/>
                <w:bCs w:val="1"/>
              </w:rPr>
            </w:pPr>
            <w:r w:rsidDel="00000000" w:rsidR="00000000" w:rsidRPr="00000000">
              <w:rPr>
                <w:b w:val="1"/>
                <w:bCs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8">
            <w:pPr>
              <w:spacing w:after="120" w:line="271" w:lineRule="auto"/>
              <w:jc w:val="both"/>
              <w:rPr>
                <w:b w:val="1"/>
                <w:bCs w:val="1"/>
              </w:rPr>
            </w:pPr>
            <w:r w:rsidDel="00000000" w:rsidR="00000000" w:rsidRPr="00000000">
              <w:rPr>
                <w:b w:val="1"/>
                <w:bCs w:val="1"/>
                <w:rtl w:val="0"/>
              </w:rPr>
              <w:t xml:space="preserve">136.236 tCO2e</w:t>
            </w: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*Total carbon emissions are calculated using the Healios carbon Calculator. This is based on the government accessible tool.  Emission factors are pre-filled from UK Government 'Greenhouse gas reporting: conversion factors 2025' (DESNZ/Defra). Update annually by replacing the factors in 'Factors_DEFRA_2025'</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hyperlink r:id="rId7">
        <w:r w:rsidDel="00000000" w:rsidR="00000000" w:rsidRPr="00000000">
          <w:rPr>
            <w:color w:val="0000ee"/>
            <w:u w:val="single"/>
            <w:rtl w:val="0"/>
          </w:rPr>
          <w:t xml:space="preserve">Healios_Carbon_Calculator_FINAL </w:t>
        </w:r>
      </w:hyperlink>
      <w:r w:rsidDel="00000000" w:rsidR="00000000" w:rsidRPr="00000000">
        <w:rPr>
          <w:rtl w:val="0"/>
        </w:rPr>
      </w:r>
    </w:p>
    <w:p w:rsidR="00000000" w:rsidDel="00000000" w:rsidP="00000000" w:rsidRDefault="00000000" w:rsidRPr="00000000" w14:paraId="0000004D">
      <w:pPr>
        <w:pStyle w:val="Heading2"/>
        <w:rPr>
          <w:b w:val="1"/>
          <w:bCs w:val="1"/>
          <w:color w:val="4a86e8"/>
        </w:rPr>
      </w:pPr>
      <w:bookmarkStart w:colFirst="0" w:colLast="0" w:name="_790yn28pykp3" w:id="2"/>
      <w:bookmarkEnd w:id="2"/>
      <w:r w:rsidDel="00000000" w:rsidR="00000000" w:rsidRPr="00000000">
        <w:rPr>
          <w:b w:val="1"/>
          <w:bCs w:val="1"/>
          <w:color w:val="4a86e8"/>
          <w:rtl w:val="0"/>
        </w:rPr>
        <w:t xml:space="preserve">3. Current Carbon Reduction Measures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Healios already delivers inherent carbon reductions through its digital service model, including: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Predominantly remote clinical delivery, significantly reducing travel-related emissions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21"/>
        </w:numPr>
        <w:ind w:left="720" w:hanging="360"/>
        <w:rPr>
          <w:u w:val="none"/>
        </w:rPr>
      </w:pPr>
      <w:r w:rsidDel="00000000" w:rsidR="00000000" w:rsidRPr="00000000">
        <w:rPr>
          <w:rtl w:val="0"/>
        </w:rPr>
        <w:t xml:space="preserve">Remote-first workforce model reducing daily commuting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23"/>
        </w:numPr>
        <w:ind w:left="720" w:hanging="360"/>
        <w:rPr>
          <w:u w:val="none"/>
        </w:rPr>
      </w:pPr>
      <w:r w:rsidDel="00000000" w:rsidR="00000000" w:rsidRPr="00000000">
        <w:rPr>
          <w:rtl w:val="0"/>
        </w:rPr>
        <w:t xml:space="preserve">Digital records and paperless clinical systems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15"/>
        </w:numPr>
        <w:ind w:left="720" w:hanging="360"/>
        <w:rPr>
          <w:u w:val="none"/>
        </w:rPr>
      </w:pPr>
      <w:r w:rsidDel="00000000" w:rsidR="00000000" w:rsidRPr="00000000">
        <w:rPr>
          <w:rtl w:val="0"/>
        </w:rPr>
        <w:t xml:space="preserve">Virtual meetings and training as default</w:t>
      </w:r>
    </w:p>
    <w:p w:rsidR="00000000" w:rsidDel="00000000" w:rsidP="00000000" w:rsidRDefault="00000000" w:rsidRPr="00000000" w14:paraId="00000058">
      <w:pPr>
        <w:pStyle w:val="Heading2"/>
        <w:rPr>
          <w:b w:val="1"/>
          <w:bCs w:val="1"/>
          <w:color w:val="4a86e8"/>
        </w:rPr>
      </w:pPr>
      <w:bookmarkStart w:colFirst="0" w:colLast="0" w:name="_6x4qkltxl85b" w:id="3"/>
      <w:bookmarkEnd w:id="3"/>
      <w:r w:rsidDel="00000000" w:rsidR="00000000" w:rsidRPr="00000000">
        <w:rPr>
          <w:b w:val="1"/>
          <w:bCs w:val="1"/>
          <w:color w:val="4a86e8"/>
          <w:rtl w:val="0"/>
        </w:rPr>
        <w:t xml:space="preserve">4. Carbon Reduction Actions (2025–2030)</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4.1 Remote Working and Energy Use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Promote energy-efficient home working practices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5"/>
        </w:numPr>
        <w:ind w:left="720" w:hanging="360"/>
        <w:rPr>
          <w:u w:val="none"/>
        </w:rPr>
      </w:pPr>
      <w:r w:rsidDel="00000000" w:rsidR="00000000" w:rsidRPr="00000000">
        <w:rPr>
          <w:rtl w:val="0"/>
        </w:rPr>
        <w:t xml:space="preserve">Encourage staff to consider renewable energy tariffs where feasible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22"/>
        </w:numPr>
        <w:ind w:left="720" w:hanging="360"/>
        <w:rPr>
          <w:u w:val="none"/>
        </w:rPr>
      </w:pPr>
      <w:r w:rsidDel="00000000" w:rsidR="00000000" w:rsidRPr="00000000">
        <w:rPr>
          <w:rtl w:val="0"/>
        </w:rPr>
        <w:t xml:space="preserve">Reduce unnecessary device usage and standby energy consumption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4.2 Digital Infrastructure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24"/>
        </w:numPr>
        <w:ind w:left="720" w:hanging="360"/>
        <w:rPr>
          <w:u w:val="none"/>
        </w:rPr>
      </w:pPr>
      <w:r w:rsidDel="00000000" w:rsidR="00000000" w:rsidRPr="00000000">
        <w:rPr>
          <w:rtl w:val="0"/>
        </w:rPr>
        <w:t xml:space="preserve">Use cloud hosting providers with clear sustainability and carbon reduction commitments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7"/>
        </w:numPr>
        <w:ind w:left="720" w:hanging="360"/>
        <w:rPr>
          <w:u w:val="none"/>
        </w:rPr>
      </w:pPr>
      <w:r w:rsidDel="00000000" w:rsidR="00000000" w:rsidRPr="00000000">
        <w:rPr>
          <w:rtl w:val="0"/>
        </w:rPr>
        <w:t xml:space="preserve">Optimise data storage, retention, and server usage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29"/>
        </w:numPr>
        <w:ind w:left="720" w:hanging="360"/>
        <w:rPr>
          <w:u w:val="none"/>
        </w:rPr>
      </w:pPr>
      <w:r w:rsidDel="00000000" w:rsidR="00000000" w:rsidRPr="00000000">
        <w:rPr>
          <w:rtl w:val="0"/>
        </w:rPr>
        <w:t xml:space="preserve">Reduce duplication of digital systems and platforms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4.3 Business Travel and Commuting</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20"/>
        </w:numPr>
        <w:ind w:left="720" w:hanging="360"/>
        <w:rPr>
          <w:u w:val="none"/>
        </w:rPr>
      </w:pPr>
      <w:r w:rsidDel="00000000" w:rsidR="00000000" w:rsidRPr="00000000">
        <w:rPr>
          <w:rtl w:val="0"/>
        </w:rPr>
        <w:t xml:space="preserve">Maintain virtual-first approach to meetings and collaboration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1"/>
        </w:numPr>
        <w:ind w:left="720" w:hanging="360"/>
        <w:rPr>
          <w:u w:val="none"/>
        </w:rPr>
      </w:pPr>
      <w:r w:rsidDel="00000000" w:rsidR="00000000" w:rsidRPr="00000000">
        <w:rPr>
          <w:rtl w:val="0"/>
        </w:rPr>
        <w:t xml:space="preserve">Encourage low-carbon travel options where travel is necessary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2"/>
        </w:numPr>
        <w:ind w:left="720" w:hanging="360"/>
        <w:rPr>
          <w:u w:val="none"/>
        </w:rPr>
      </w:pPr>
      <w:r w:rsidDel="00000000" w:rsidR="00000000" w:rsidRPr="00000000">
        <w:rPr>
          <w:rtl w:val="0"/>
        </w:rPr>
        <w:t xml:space="preserve">Minimise non-essential business travel</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4.4 Procurement and Supply Chains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3"/>
        </w:numPr>
        <w:ind w:left="720" w:hanging="360"/>
        <w:rPr>
          <w:u w:val="none"/>
        </w:rPr>
      </w:pPr>
      <w:r w:rsidDel="00000000" w:rsidR="00000000" w:rsidRPr="00000000">
        <w:rPr>
          <w:rtl w:val="0"/>
        </w:rPr>
        <w:t xml:space="preserve">Embed environmental and social value considerations into procurement decisions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17"/>
        </w:numPr>
        <w:ind w:left="720" w:hanging="360"/>
        <w:rPr>
          <w:u w:val="none"/>
        </w:rPr>
      </w:pPr>
      <w:r w:rsidDel="00000000" w:rsidR="00000000" w:rsidRPr="00000000">
        <w:rPr>
          <w:rtl w:val="0"/>
        </w:rPr>
        <w:t xml:space="preserve">Prioritise suppliers with published carbon reduction plans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10"/>
        </w:numPr>
        <w:ind w:left="720" w:hanging="360"/>
        <w:rPr>
          <w:u w:val="none"/>
        </w:rPr>
      </w:pPr>
      <w:r w:rsidDel="00000000" w:rsidR="00000000" w:rsidRPr="00000000">
        <w:rPr>
          <w:rtl w:val="0"/>
        </w:rPr>
        <w:t xml:space="preserve">Extend equipment lifecycles and promote reuse and recycling of IT hardware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5. Social Value and Wider Impact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Healios recognises that carbon reduction contributes directly to wider social value outcomes and is committed to:</w:t>
      </w:r>
    </w:p>
    <w:p w:rsidR="00000000" w:rsidDel="00000000" w:rsidP="00000000" w:rsidRDefault="00000000" w:rsidRPr="00000000" w14:paraId="0000007D">
      <w:pPr>
        <w:rPr>
          <w:color w:val="434343"/>
          <w:sz w:val="21"/>
          <w:szCs w:val="21"/>
        </w:rPr>
      </w:pPr>
      <w:r w:rsidDel="00000000" w:rsidR="00000000" w:rsidRPr="00000000">
        <w:rPr>
          <w:rtl w:val="0"/>
        </w:rPr>
      </w:r>
    </w:p>
    <w:p w:rsidR="00000000" w:rsidDel="00000000" w:rsidP="00000000" w:rsidRDefault="00000000" w:rsidRPr="00000000" w14:paraId="0000007E">
      <w:pPr>
        <w:numPr>
          <w:ilvl w:val="0"/>
          <w:numId w:val="14"/>
        </w:numPr>
        <w:ind w:left="720" w:hanging="360"/>
        <w:rPr>
          <w:color w:val="434343"/>
          <w:sz w:val="21"/>
          <w:szCs w:val="21"/>
          <w:u w:val="none"/>
        </w:rPr>
      </w:pPr>
      <w:r w:rsidDel="00000000" w:rsidR="00000000" w:rsidRPr="00000000">
        <w:rPr>
          <w:color w:val="434343"/>
          <w:sz w:val="21"/>
          <w:szCs w:val="21"/>
          <w:rtl w:val="0"/>
        </w:rPr>
        <w:t xml:space="preserve">I</w:t>
      </w:r>
      <w:r w:rsidDel="00000000" w:rsidR="00000000" w:rsidRPr="00000000">
        <w:rPr>
          <w:color w:val="434343"/>
          <w:sz w:val="21"/>
          <w:szCs w:val="21"/>
          <w:rtl w:val="0"/>
        </w:rPr>
        <w:t xml:space="preserve">mproving health and wellbeing</w:t>
      </w:r>
    </w:p>
    <w:p w:rsidR="00000000" w:rsidDel="00000000" w:rsidP="00000000" w:rsidRDefault="00000000" w:rsidRPr="00000000" w14:paraId="0000007F">
      <w:pPr>
        <w:rPr>
          <w:sz w:val="21"/>
          <w:szCs w:val="21"/>
        </w:rPr>
      </w:pPr>
      <w:r w:rsidDel="00000000" w:rsidR="00000000" w:rsidRPr="00000000">
        <w:rPr>
          <w:rtl w:val="0"/>
        </w:rPr>
      </w:r>
    </w:p>
    <w:p w:rsidR="00000000" w:rsidDel="00000000" w:rsidP="00000000" w:rsidRDefault="00000000" w:rsidRPr="00000000" w14:paraId="00000080">
      <w:pPr>
        <w:numPr>
          <w:ilvl w:val="0"/>
          <w:numId w:val="16"/>
        </w:numPr>
        <w:ind w:left="720" w:hanging="360"/>
        <w:rPr>
          <w:sz w:val="21"/>
          <w:szCs w:val="21"/>
          <w:u w:val="none"/>
        </w:rPr>
      </w:pPr>
      <w:r w:rsidDel="00000000" w:rsidR="00000000" w:rsidRPr="00000000">
        <w:rPr>
          <w:sz w:val="21"/>
          <w:szCs w:val="21"/>
          <w:rtl w:val="0"/>
        </w:rPr>
        <w:t xml:space="preserve">Combatting health inequalities in line with PCREF and health inequalities framework</w:t>
      </w:r>
    </w:p>
    <w:p w:rsidR="00000000" w:rsidDel="00000000" w:rsidP="00000000" w:rsidRDefault="00000000" w:rsidRPr="00000000" w14:paraId="00000081">
      <w:pPr>
        <w:rPr>
          <w:sz w:val="21"/>
          <w:szCs w:val="21"/>
        </w:rPr>
      </w:pPr>
      <w:r w:rsidDel="00000000" w:rsidR="00000000" w:rsidRPr="00000000">
        <w:rPr>
          <w:rtl w:val="0"/>
        </w:rPr>
      </w:r>
    </w:p>
    <w:p w:rsidR="00000000" w:rsidDel="00000000" w:rsidP="00000000" w:rsidRDefault="00000000" w:rsidRPr="00000000" w14:paraId="00000082">
      <w:pPr>
        <w:numPr>
          <w:ilvl w:val="0"/>
          <w:numId w:val="19"/>
        </w:numPr>
        <w:ind w:left="720" w:hanging="360"/>
        <w:rPr>
          <w:sz w:val="21"/>
          <w:szCs w:val="21"/>
          <w:u w:val="none"/>
        </w:rPr>
      </w:pPr>
      <w:r w:rsidDel="00000000" w:rsidR="00000000" w:rsidRPr="00000000">
        <w:rPr>
          <w:sz w:val="21"/>
          <w:szCs w:val="21"/>
          <w:rtl w:val="0"/>
        </w:rPr>
        <w:t xml:space="preserve">Employment and local economic growth</w:t>
      </w:r>
    </w:p>
    <w:p w:rsidR="00000000" w:rsidDel="00000000" w:rsidP="00000000" w:rsidRDefault="00000000" w:rsidRPr="00000000" w14:paraId="00000083">
      <w:pPr>
        <w:rPr>
          <w:sz w:val="21"/>
          <w:szCs w:val="21"/>
        </w:rPr>
      </w:pPr>
      <w:r w:rsidDel="00000000" w:rsidR="00000000" w:rsidRPr="00000000">
        <w:rPr>
          <w:rtl w:val="0"/>
        </w:rPr>
      </w:r>
    </w:p>
    <w:p w:rsidR="00000000" w:rsidDel="00000000" w:rsidP="00000000" w:rsidRDefault="00000000" w:rsidRPr="00000000" w14:paraId="00000084">
      <w:pPr>
        <w:numPr>
          <w:ilvl w:val="0"/>
          <w:numId w:val="13"/>
        </w:numPr>
        <w:ind w:left="720" w:hanging="360"/>
        <w:rPr>
          <w:sz w:val="21"/>
          <w:szCs w:val="21"/>
          <w:u w:val="none"/>
        </w:rPr>
      </w:pPr>
      <w:r w:rsidDel="00000000" w:rsidR="00000000" w:rsidRPr="00000000">
        <w:rPr>
          <w:sz w:val="21"/>
          <w:szCs w:val="21"/>
          <w:rtl w:val="0"/>
        </w:rPr>
        <w:t xml:space="preserve">Supporting the local community</w:t>
      </w:r>
    </w:p>
    <w:p w:rsidR="00000000" w:rsidDel="00000000" w:rsidP="00000000" w:rsidRDefault="00000000" w:rsidRPr="00000000" w14:paraId="00000085">
      <w:pPr>
        <w:rPr>
          <w:sz w:val="21"/>
          <w:szCs w:val="21"/>
        </w:rPr>
      </w:pPr>
      <w:r w:rsidDel="00000000" w:rsidR="00000000" w:rsidRPr="00000000">
        <w:rPr>
          <w:rtl w:val="0"/>
        </w:rPr>
      </w:r>
    </w:p>
    <w:p w:rsidR="00000000" w:rsidDel="00000000" w:rsidP="00000000" w:rsidRDefault="00000000" w:rsidRPr="00000000" w14:paraId="00000086">
      <w:pPr>
        <w:numPr>
          <w:ilvl w:val="0"/>
          <w:numId w:val="27"/>
        </w:numPr>
        <w:ind w:left="720" w:hanging="360"/>
        <w:rPr>
          <w:sz w:val="21"/>
          <w:szCs w:val="21"/>
          <w:u w:val="none"/>
        </w:rPr>
      </w:pPr>
      <w:r w:rsidDel="00000000" w:rsidR="00000000" w:rsidRPr="00000000">
        <w:rPr>
          <w:sz w:val="21"/>
          <w:szCs w:val="21"/>
          <w:rtl w:val="0"/>
        </w:rPr>
        <w:t xml:space="preserve">Environmental sustainability</w:t>
      </w:r>
    </w:p>
    <w:p w:rsidR="00000000" w:rsidDel="00000000" w:rsidP="00000000" w:rsidRDefault="00000000" w:rsidRPr="00000000" w14:paraId="00000087">
      <w:pPr>
        <w:rPr>
          <w:sz w:val="21"/>
          <w:szCs w:val="21"/>
        </w:rPr>
      </w:pPr>
      <w:r w:rsidDel="00000000" w:rsidR="00000000" w:rsidRPr="00000000">
        <w:rPr>
          <w:rtl w:val="0"/>
        </w:rPr>
      </w:r>
    </w:p>
    <w:p w:rsidR="00000000" w:rsidDel="00000000" w:rsidP="00000000" w:rsidRDefault="00000000" w:rsidRPr="00000000" w14:paraId="00000088">
      <w:pPr>
        <w:numPr>
          <w:ilvl w:val="0"/>
          <w:numId w:val="12"/>
        </w:numPr>
        <w:ind w:left="720" w:hanging="360"/>
        <w:rPr>
          <w:sz w:val="21"/>
          <w:szCs w:val="21"/>
          <w:u w:val="none"/>
        </w:rPr>
      </w:pPr>
      <w:r w:rsidDel="00000000" w:rsidR="00000000" w:rsidRPr="00000000">
        <w:rPr>
          <w:sz w:val="21"/>
          <w:szCs w:val="21"/>
          <w:rtl w:val="0"/>
        </w:rPr>
        <w:t xml:space="preserve">Ethical and responsible practi</w:t>
      </w:r>
      <w:r w:rsidDel="00000000" w:rsidR="00000000" w:rsidRPr="00000000">
        <w:rPr>
          <w:rtl w:val="0"/>
        </w:rPr>
        <w:t xml:space="preserve">ces</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This approach aligns with the NHS Social Value Model and Healios’ organisational values.</w:t>
      </w:r>
    </w:p>
    <w:p w:rsidR="00000000" w:rsidDel="00000000" w:rsidP="00000000" w:rsidRDefault="00000000" w:rsidRPr="00000000" w14:paraId="0000008B">
      <w:pPr>
        <w:pStyle w:val="Heading2"/>
        <w:rPr>
          <w:b w:val="1"/>
          <w:bCs w:val="1"/>
          <w:color w:val="4a86e8"/>
        </w:rPr>
      </w:pPr>
      <w:bookmarkStart w:colFirst="0" w:colLast="0" w:name="_sr7428u62bhq" w:id="4"/>
      <w:bookmarkEnd w:id="4"/>
      <w:r w:rsidDel="00000000" w:rsidR="00000000" w:rsidRPr="00000000">
        <w:rPr>
          <w:b w:val="1"/>
          <w:bCs w:val="1"/>
          <w:color w:val="4a86e8"/>
          <w:rtl w:val="0"/>
        </w:rPr>
        <w:t xml:space="preserve">6. Collaboration and Sector Engagement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Healios is a member of the Independent Healthcare Provider Network (IHPN) and engages in member events and collaborative forums to share learning, contribute to sector-wide sustainability discussions, and adopt best practice across healthcare providers.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Consideration as to benchmarking our net zero commitment with similar organisations through our network.</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2"/>
        <w:rPr>
          <w:b w:val="1"/>
          <w:bCs w:val="1"/>
          <w:color w:val="4a86e8"/>
        </w:rPr>
      </w:pPr>
      <w:bookmarkStart w:colFirst="0" w:colLast="0" w:name="_u23ac3x4yq87" w:id="5"/>
      <w:bookmarkEnd w:id="5"/>
      <w:r w:rsidDel="00000000" w:rsidR="00000000" w:rsidRPr="00000000">
        <w:rPr>
          <w:b w:val="1"/>
          <w:bCs w:val="1"/>
          <w:color w:val="4a86e8"/>
          <w:rtl w:val="0"/>
        </w:rPr>
        <w:t xml:space="preserve">7. Governance and Accountability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Responsibility for delivery of this Carbon Reduction Plan sits with the ELT, supported by the net zero leads, Clinical, Technology, People, and Governance functions.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Healios net zero leads have engagement channels with the board and there is a commitment from the senior leadership team to this plan.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Progress against this plan will be: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4"/>
        </w:numPr>
        <w:ind w:left="720" w:hanging="360"/>
        <w:rPr>
          <w:u w:val="none"/>
        </w:rPr>
      </w:pPr>
      <w:r w:rsidDel="00000000" w:rsidR="00000000" w:rsidRPr="00000000">
        <w:rPr>
          <w:rtl w:val="0"/>
        </w:rPr>
        <w:t xml:space="preserve">Reviewed annually</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numPr>
          <w:ilvl w:val="0"/>
          <w:numId w:val="9"/>
        </w:numPr>
        <w:ind w:left="720" w:hanging="360"/>
        <w:rPr>
          <w:u w:val="none"/>
        </w:rPr>
      </w:pPr>
      <w:r w:rsidDel="00000000" w:rsidR="00000000" w:rsidRPr="00000000">
        <w:rPr>
          <w:rtl w:val="0"/>
        </w:rPr>
        <w:t xml:space="preserve">Reported internally through governance structures (Monthly assurance meeting, regular board reporting).</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numPr>
          <w:ilvl w:val="0"/>
          <w:numId w:val="26"/>
        </w:numPr>
        <w:ind w:left="720" w:hanging="360"/>
        <w:rPr>
          <w:u w:val="none"/>
        </w:rPr>
      </w:pPr>
      <w:r w:rsidDel="00000000" w:rsidR="00000000" w:rsidRPr="00000000">
        <w:rPr>
          <w:rtl w:val="0"/>
        </w:rPr>
        <w:t xml:space="preserve">Updated in line with NHS guidance and organisational development</w:t>
      </w:r>
    </w:p>
    <w:p w:rsidR="00000000" w:rsidDel="00000000" w:rsidP="00000000" w:rsidRDefault="00000000" w:rsidRPr="00000000" w14:paraId="0000009E">
      <w:pPr>
        <w:pStyle w:val="Heading2"/>
        <w:rPr>
          <w:b w:val="1"/>
          <w:bCs w:val="1"/>
          <w:color w:val="4a86e8"/>
        </w:rPr>
      </w:pPr>
      <w:bookmarkStart w:colFirst="0" w:colLast="0" w:name="_q3i1ojqhs7ha" w:id="6"/>
      <w:bookmarkEnd w:id="6"/>
      <w:r w:rsidDel="00000000" w:rsidR="00000000" w:rsidRPr="00000000">
        <w:rPr>
          <w:b w:val="1"/>
          <w:bCs w:val="1"/>
          <w:color w:val="4a86e8"/>
          <w:rtl w:val="0"/>
        </w:rPr>
        <w:t xml:space="preserve">8. Monitoring and Reporting</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Healios will: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numPr>
          <w:ilvl w:val="0"/>
          <w:numId w:val="18"/>
        </w:numPr>
        <w:ind w:left="720" w:hanging="360"/>
        <w:rPr>
          <w:u w:val="none"/>
        </w:rPr>
      </w:pPr>
      <w:r w:rsidDel="00000000" w:rsidR="00000000" w:rsidRPr="00000000">
        <w:rPr>
          <w:rtl w:val="0"/>
        </w:rPr>
        <w:t xml:space="preserve">Monitor emissions via a tableau reporting dashboard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25"/>
        </w:numPr>
        <w:ind w:left="720" w:hanging="360"/>
        <w:rPr>
          <w:u w:val="none"/>
        </w:rPr>
      </w:pPr>
      <w:r w:rsidDel="00000000" w:rsidR="00000000" w:rsidRPr="00000000">
        <w:rPr>
          <w:rtl w:val="0"/>
        </w:rPr>
        <w:t xml:space="preserve">Track progress against reduction priorities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numPr>
          <w:ilvl w:val="0"/>
          <w:numId w:val="6"/>
        </w:numPr>
        <w:ind w:left="720" w:hanging="360"/>
        <w:rPr>
          <w:u w:val="none"/>
        </w:rPr>
      </w:pPr>
      <w:r w:rsidDel="00000000" w:rsidR="00000000" w:rsidRPr="00000000">
        <w:rPr>
          <w:rtl w:val="0"/>
        </w:rPr>
        <w:t xml:space="preserve">Publish updates where required by commissioners or partners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numPr>
          <w:ilvl w:val="0"/>
          <w:numId w:val="28"/>
        </w:numPr>
        <w:ind w:left="720" w:hanging="360"/>
        <w:rPr>
          <w:u w:val="none"/>
        </w:rPr>
      </w:pPr>
      <w:r w:rsidDel="00000000" w:rsidR="00000000" w:rsidRPr="00000000">
        <w:rPr>
          <w:rtl w:val="0"/>
        </w:rPr>
        <w:t xml:space="preserve">Continuously improve data accuracy and reporting maturity</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b w:val="1"/>
          <w:bCs w:val="1"/>
          <w:color w:val="4a86e8"/>
        </w:rPr>
      </w:pPr>
      <w:bookmarkStart w:colFirst="0" w:colLast="0" w:name="_7yxbmzjr58jg" w:id="7"/>
      <w:bookmarkEnd w:id="7"/>
      <w:r w:rsidDel="00000000" w:rsidR="00000000" w:rsidRPr="00000000">
        <w:rPr>
          <w:b w:val="1"/>
          <w:bCs w:val="1"/>
          <w:color w:val="4a86e8"/>
          <w:rtl w:val="0"/>
        </w:rPr>
        <w:t xml:space="preserve">9. Offsetting and Residual Emissions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Healios will prioritise carbon reduction before offsetting.</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Once significant reductions have been achieved, high-quality, verifiable carbon removal offsets may be used for residual emissions as part of the Net Zero commitment.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2"/>
        <w:rPr>
          <w:b w:val="1"/>
          <w:bCs w:val="1"/>
          <w:sz w:val="28"/>
          <w:szCs w:val="28"/>
        </w:rPr>
      </w:pPr>
      <w:bookmarkStart w:colFirst="0" w:colLast="0" w:name="_6884v0h3eu3a" w:id="8"/>
      <w:bookmarkEnd w:id="8"/>
      <w:r w:rsidDel="00000000" w:rsidR="00000000" w:rsidRPr="00000000">
        <w:rPr>
          <w:b w:val="1"/>
          <w:bCs w:val="1"/>
          <w:color w:val="4a86e8"/>
          <w:rtl w:val="0"/>
        </w:rPr>
        <w:t xml:space="preserve">10. Declaration</w:t>
      </w:r>
      <w:r w:rsidDel="00000000" w:rsidR="00000000" w:rsidRPr="00000000">
        <w:rPr>
          <w:rtl w:val="0"/>
        </w:rPr>
      </w:r>
    </w:p>
    <w:p w:rsidR="00000000" w:rsidDel="00000000" w:rsidP="00000000" w:rsidRDefault="00000000" w:rsidRPr="00000000" w14:paraId="000000B1">
      <w:pPr>
        <w:spacing w:after="300" w:line="246.99999999999994" w:lineRule="auto"/>
        <w:rPr/>
      </w:pPr>
      <w:r w:rsidDel="00000000" w:rsidR="00000000" w:rsidRPr="00000000">
        <w:rPr>
          <w:rtl w:val="0"/>
        </w:rPr>
        <w:t xml:space="preserve">This Carbon Reduction Plan has been completed in accordance with PPN 06/21 and associated guidance and reporting standards for Carbon Reduction Plans. </w:t>
      </w:r>
    </w:p>
    <w:p w:rsidR="00000000" w:rsidDel="00000000" w:rsidP="00000000" w:rsidRDefault="00000000" w:rsidRPr="00000000" w14:paraId="000000B2">
      <w:pPr>
        <w:spacing w:after="30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rtl w:val="0"/>
        </w:rPr>
        <w:t xml:space="preserve">GHG Reporting Protocol corporate standard</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color w:val="0b0c0c"/>
          <w:rtl w:val="0"/>
        </w:rPr>
        <w:t xml:space="preserve">and uses the appropri</w:t>
      </w:r>
      <w:r w:rsidDel="00000000" w:rsidR="00000000" w:rsidRPr="00000000">
        <w:rPr>
          <w:rtl w:val="0"/>
        </w:rPr>
        <w:t xml:space="preserve">ate </w:t>
      </w:r>
      <w:hyperlink r:id="rId8">
        <w:r w:rsidDel="00000000" w:rsidR="00000000" w:rsidRPr="00000000">
          <w:rPr>
            <w:rtl w:val="0"/>
          </w:rPr>
          <w:t xml:space="preserve">Government emission conversion factors for greenhouse gas company reporting</w:t>
        </w:r>
      </w:hyperlink>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B3">
      <w:pPr>
        <w:spacing w:after="30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rtl w:val="0"/>
        </w:rPr>
        <w:t xml:space="preserve">Corporate Value Chain (Scope 3) Standard</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B4">
      <w:pPr>
        <w:spacing w:after="30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B5">
      <w:pPr>
        <w:spacing w:after="300" w:before="0" w:line="246.99999999999994" w:lineRule="auto"/>
        <w:jc w:val="both"/>
        <w:rPr>
          <w:b w:val="1"/>
          <w:bCs w:val="1"/>
        </w:rPr>
      </w:pPr>
      <w:r w:rsidDel="00000000" w:rsidR="00000000" w:rsidRPr="00000000">
        <w:rPr>
          <w:b w:val="1"/>
          <w:bCs w:val="1"/>
          <w:rtl w:val="0"/>
        </w:rPr>
        <w:t xml:space="preserve">Signed on behalf of the organisation:</w:t>
      </w:r>
    </w:p>
    <w:p w:rsidR="00000000" w:rsidDel="00000000" w:rsidP="00000000" w:rsidRDefault="00000000" w:rsidRPr="00000000" w14:paraId="000000B6">
      <w:pPr>
        <w:spacing w:after="300" w:line="246.99999999999994" w:lineRule="auto"/>
        <w:rPr>
          <w:color w:val="0b0c0c"/>
        </w:rPr>
      </w:pPr>
      <w:r w:rsidDel="00000000" w:rsidR="00000000" w:rsidRPr="00000000">
        <w:rPr>
          <w:color w:val="0b0c0c"/>
        </w:rPr>
        <mc:AlternateContent>
          <mc:Choice Requires="wpg">
            <w:drawing>
              <wp:inline distB="114300" distT="114300" distL="114300" distR="114300">
                <wp:extent cx="3457575" cy="1447800"/>
                <wp:effectExtent b="0" l="0" r="0" t="0"/>
                <wp:docPr id="1" name=""/>
                <a:graphic>
                  <a:graphicData uri="http://schemas.microsoft.com/office/word/2010/wordprocessingShape">
                    <wps:wsp>
                      <wps:cNvSpPr/>
                      <wps:cNvPr id="2" name="Shape 2"/>
                      <wps:spPr>
                        <a:xfrm>
                          <a:off x="2632862" y="1236030"/>
                          <a:ext cx="3440000" cy="1428875"/>
                        </a:xfrm>
                        <a:custGeom>
                          <a:rect b="b" l="l" r="r" t="t"/>
                          <a:pathLst>
                            <a:path extrusionOk="0" h="57155" w="137600">
                              <a:moveTo>
                                <a:pt x="7228" y="57156"/>
                              </a:moveTo>
                              <a:cubicBezTo>
                                <a:pt x="7228" y="40867"/>
                                <a:pt x="-661" y="25083"/>
                                <a:pt x="95" y="8811"/>
                              </a:cubicBezTo>
                              <a:cubicBezTo>
                                <a:pt x="349" y="3356"/>
                                <a:pt x="8516" y="-278"/>
                                <a:pt x="13964" y="93"/>
                              </a:cubicBezTo>
                              <a:cubicBezTo>
                                <a:pt x="20137" y="514"/>
                                <a:pt x="30295" y="-757"/>
                                <a:pt x="31796" y="5245"/>
                              </a:cubicBezTo>
                              <a:cubicBezTo>
                                <a:pt x="34477" y="15962"/>
                                <a:pt x="9736" y="16382"/>
                                <a:pt x="6831" y="27040"/>
                              </a:cubicBezTo>
                              <a:cubicBezTo>
                                <a:pt x="5184" y="33084"/>
                                <a:pt x="22352" y="28888"/>
                                <a:pt x="23871" y="34965"/>
                              </a:cubicBezTo>
                              <a:cubicBezTo>
                                <a:pt x="24983" y="39413"/>
                                <a:pt x="18013" y="45045"/>
                                <a:pt x="21097" y="48438"/>
                              </a:cubicBezTo>
                              <a:cubicBezTo>
                                <a:pt x="29365" y="57534"/>
                                <a:pt x="45938" y="46912"/>
                                <a:pt x="57554" y="42891"/>
                              </a:cubicBezTo>
                              <a:cubicBezTo>
                                <a:pt x="59435" y="42240"/>
                                <a:pt x="63001" y="44707"/>
                                <a:pt x="65480" y="44872"/>
                              </a:cubicBezTo>
                              <a:cubicBezTo>
                                <a:pt x="74973" y="45505"/>
                                <a:pt x="84506" y="45251"/>
                                <a:pt x="94011" y="45665"/>
                              </a:cubicBezTo>
                              <a:cubicBezTo>
                                <a:pt x="101917" y="46009"/>
                                <a:pt x="109138" y="40663"/>
                                <a:pt x="116995" y="39720"/>
                              </a:cubicBezTo>
                              <a:cubicBezTo>
                                <a:pt x="123846" y="38898"/>
                                <a:pt x="130701" y="41702"/>
                                <a:pt x="137601" y="4170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3457575" cy="1447800"/>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457575" cy="1447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7">
      <w:pPr>
        <w:spacing w:after="300" w:line="246.99999999999994" w:lineRule="auto"/>
        <w:rPr>
          <w:color w:val="0b0c0c"/>
        </w:rPr>
      </w:pPr>
      <w:r w:rsidDel="00000000" w:rsidR="00000000" w:rsidRPr="00000000">
        <w:rPr>
          <w:color w:val="0b0c0c"/>
          <w:rtl w:val="0"/>
        </w:rPr>
        <w:t xml:space="preserve">Brett Cowell, Chief Operating Officer</w:t>
      </w:r>
      <w:r w:rsidDel="00000000" w:rsidR="00000000" w:rsidRPr="00000000">
        <w:rPr>
          <w:rtl w:val="0"/>
        </w:rPr>
      </w:r>
    </w:p>
    <w:p w:rsidR="00000000" w:rsidDel="00000000" w:rsidP="00000000" w:rsidRDefault="00000000" w:rsidRPr="00000000" w14:paraId="000000B8">
      <w:pPr>
        <w:spacing w:after="300" w:line="246.99999999999994" w:lineRule="auto"/>
        <w:rPr>
          <w:color w:val="0b0c0c"/>
        </w:rPr>
      </w:pPr>
      <w:r w:rsidDel="00000000" w:rsidR="00000000" w:rsidRPr="00000000">
        <w:rPr>
          <w:color w:val="0b0c0c"/>
          <w:rtl w:val="0"/>
        </w:rPr>
        <w:t xml:space="preserve">Date: 23rd March 2026</w:t>
      </w:r>
    </w:p>
    <w:p w:rsidR="00000000" w:rsidDel="00000000" w:rsidP="00000000" w:rsidRDefault="00000000" w:rsidRPr="00000000" w14:paraId="000000B9">
      <w:pPr>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t xml:space="preserve">March 2026</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0">
      <w:pPr>
        <w:spacing w:line="240" w:lineRule="auto"/>
        <w:rPr/>
      </w:pPr>
      <w:r w:rsidDel="00000000" w:rsidR="00000000" w:rsidRPr="00000000">
        <w:rPr>
          <w:rStyle w:val="FootnoteReference"/>
          <w:vertAlign w:val="superscript"/>
        </w:rPr>
        <w:footnoteRef/>
      </w:r>
      <w:r w:rsidDel="00000000" w:rsidR="00000000" w:rsidRPr="00000000">
        <w:rPr>
          <w:rtl w:val="0"/>
        </w:rPr>
      </w:r>
    </w:p>
  </w:footnote>
  <w:footnote w:id="1">
    <w:p w:rsidR="00000000" w:rsidDel="00000000" w:rsidP="00000000" w:rsidRDefault="00000000" w:rsidRPr="00000000" w14:paraId="000000C1">
      <w:pPr>
        <w:spacing w:line="240" w:lineRule="auto"/>
        <w:rPr/>
      </w:pPr>
      <w:r w:rsidDel="00000000" w:rsidR="00000000" w:rsidRPr="00000000">
        <w:rPr>
          <w:rStyle w:val="FootnoteReference"/>
          <w:vertAlign w:val="superscript"/>
        </w:rPr>
        <w:footnoteRef/>
      </w:r>
      <w:r w:rsidDel="00000000" w:rsidR="00000000" w:rsidRPr="00000000">
        <w:rPr>
          <w:rtl w:val="0"/>
        </w:rPr>
      </w:r>
    </w:p>
  </w:footnote>
  <w:footnote w:id="2">
    <w:p w:rsidR="00000000" w:rsidDel="00000000" w:rsidP="00000000" w:rsidRDefault="00000000" w:rsidRPr="00000000" w14:paraId="000000C2">
      <w:pPr>
        <w:spacing w:line="240" w:lineRule="auto"/>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-901536</wp:posOffset>
          </wp:positionH>
          <wp:positionV relativeFrom="paragraph">
            <wp:posOffset>-457199</wp:posOffset>
          </wp:positionV>
          <wp:extent cx="7534910" cy="1736090"/>
          <wp:effectExtent b="0" l="0" r="0" t="0"/>
          <wp:wrapSquare wrapText="bothSides" distB="0" distT="0" distL="114300" distR="114300"/>
          <wp:docPr descr="Icon&#10;&#10;Description automatically generated" id="2" name="image1.png"/>
          <a:graphic>
            <a:graphicData uri="http://schemas.openxmlformats.org/drawingml/2006/picture">
              <pic:pic>
                <pic:nvPicPr>
                  <pic:cNvPr descr="Icon&#10;&#10;Description automatically generated" id="0" name="image1.png"/>
                  <pic:cNvPicPr preferRelativeResize="0"/>
                </pic:nvPicPr>
                <pic:blipFill>
                  <a:blip r:embed="rId1"/>
                  <a:srcRect b="0" l="0" r="0" t="7319"/>
                  <a:stretch>
                    <a:fillRect/>
                  </a:stretch>
                </pic:blipFill>
                <pic:spPr>
                  <a:xfrm>
                    <a:off x="0" y="0"/>
                    <a:ext cx="7534910" cy="1736090"/>
                  </a:xfrm>
                  <a:prstGeom prst="rect"/>
                  <a:ln/>
                </pic:spPr>
              </pic:pic>
            </a:graphicData>
          </a:graphic>
        </wp:anchor>
      </w:drawing>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spreadsheets/d/1NMUxb8W5SHHoPQGYivjJ6wPAft3EhmVs/edit?usp=sharing&amp;ouid=107903620472124616953&amp;rtpof=true&amp;sd=true" TargetMode="External"/><Relationship Id="rId8" Type="http://schemas.openxmlformats.org/officeDocument/2006/relationships/hyperlink" Target="https://www.gov.uk/government/collections/government-conversion-factors-for-company-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